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D9F" w:rsidRPr="00351D9F" w:rsidRDefault="00351D9F" w:rsidP="00351D9F">
      <w:pPr>
        <w:autoSpaceDE w:val="0"/>
        <w:autoSpaceDN w:val="0"/>
        <w:adjustRightInd w:val="0"/>
        <w:jc w:val="left"/>
        <w:rPr>
          <w:rFonts w:ascii="AdvTTe45e47d2" w:hAnsi="AdvTTe45e47d2" w:cs="AdvTTe45e47d2"/>
          <w:kern w:val="0"/>
          <w:sz w:val="24"/>
          <w:szCs w:val="24"/>
        </w:rPr>
      </w:pPr>
      <w:r w:rsidRPr="00351D9F">
        <w:rPr>
          <w:rFonts w:ascii="AdvTT7329fd89.I" w:hAnsi="AdvTT7329fd89.I" w:cs="AdvTT7329fd89.I"/>
          <w:kern w:val="0"/>
          <w:sz w:val="24"/>
          <w:szCs w:val="24"/>
        </w:rPr>
        <w:t xml:space="preserve">In silico </w:t>
      </w:r>
      <w:r w:rsidRPr="00351D9F">
        <w:rPr>
          <w:rFonts w:ascii="AdvTTe45e47d2" w:hAnsi="AdvTTe45e47d2" w:cs="AdvTTe45e47d2"/>
          <w:kern w:val="0"/>
          <w:sz w:val="24"/>
          <w:szCs w:val="24"/>
        </w:rPr>
        <w:t>polymorphism analysis for the</w:t>
      </w:r>
      <w:r>
        <w:rPr>
          <w:rFonts w:ascii="AdvTTe45e47d2" w:hAnsi="AdvTTe45e47d2" w:cs="AdvTTe45e47d2" w:hint="eastAsia"/>
          <w:kern w:val="0"/>
          <w:sz w:val="24"/>
          <w:szCs w:val="24"/>
        </w:rPr>
        <w:t xml:space="preserve"> </w:t>
      </w:r>
      <w:r w:rsidRPr="00351D9F">
        <w:rPr>
          <w:rFonts w:ascii="AdvTTe45e47d2" w:hAnsi="AdvTTe45e47d2" w:cs="AdvTTe45e47d2"/>
          <w:kern w:val="0"/>
          <w:sz w:val="24"/>
          <w:szCs w:val="24"/>
        </w:rPr>
        <w:t>development of simple sequence</w:t>
      </w:r>
      <w:r w:rsidRPr="00351D9F">
        <w:rPr>
          <w:rFonts w:ascii="AdvTTe45e47d2" w:hAnsi="AdvTTe45e47d2" w:cs="AdvTTe45e47d2" w:hint="eastAsia"/>
          <w:kern w:val="0"/>
          <w:sz w:val="24"/>
          <w:szCs w:val="24"/>
        </w:rPr>
        <w:t xml:space="preserve"> </w:t>
      </w:r>
      <w:r w:rsidRPr="00351D9F">
        <w:rPr>
          <w:rFonts w:ascii="AdvTTe45e47d2" w:hAnsi="AdvTTe45e47d2" w:cs="AdvTTe45e47d2"/>
          <w:kern w:val="0"/>
          <w:sz w:val="24"/>
          <w:szCs w:val="24"/>
        </w:rPr>
        <w:t>repeat and</w:t>
      </w:r>
      <w:r w:rsidRPr="00351D9F">
        <w:rPr>
          <w:rFonts w:ascii="AdvTTe45e47d2" w:hAnsi="AdvTTe45e47d2" w:cs="AdvTTe45e47d2" w:hint="eastAsia"/>
          <w:kern w:val="0"/>
          <w:sz w:val="24"/>
          <w:szCs w:val="24"/>
        </w:rPr>
        <w:t xml:space="preserve"> </w:t>
      </w:r>
      <w:r w:rsidRPr="00351D9F">
        <w:rPr>
          <w:rFonts w:ascii="AdvTTe45e47d2" w:hAnsi="AdvTTe45e47d2" w:cs="AdvTTe45e47d2"/>
          <w:kern w:val="0"/>
          <w:sz w:val="24"/>
          <w:szCs w:val="24"/>
        </w:rPr>
        <w:t>transposon markers and construction of linkage</w:t>
      </w:r>
      <w:r w:rsidRPr="00351D9F">
        <w:rPr>
          <w:rFonts w:ascii="AdvTTe45e47d2" w:hAnsi="AdvTTe45e47d2" w:cs="AdvTTe45e47d2" w:hint="eastAsia"/>
          <w:kern w:val="0"/>
          <w:sz w:val="24"/>
          <w:szCs w:val="24"/>
        </w:rPr>
        <w:t xml:space="preserve"> </w:t>
      </w:r>
      <w:r w:rsidRPr="00351D9F">
        <w:rPr>
          <w:rFonts w:ascii="AdvTTe45e47d2" w:hAnsi="AdvTTe45e47d2" w:cs="AdvTTe45e47d2"/>
          <w:kern w:val="0"/>
          <w:sz w:val="24"/>
          <w:szCs w:val="24"/>
        </w:rPr>
        <w:t>map in cultivated peanut</w:t>
      </w:r>
    </w:p>
    <w:p w:rsidR="00351D9F" w:rsidRDefault="00351D9F" w:rsidP="00351D9F">
      <w:pPr>
        <w:autoSpaceDE w:val="0"/>
        <w:autoSpaceDN w:val="0"/>
        <w:adjustRightInd w:val="0"/>
        <w:jc w:val="left"/>
        <w:rPr>
          <w:rFonts w:ascii="AdvTTb5929f4c" w:hAnsi="AdvTTb5929f4c" w:cs="AdvTTb5929f4c"/>
          <w:kern w:val="0"/>
          <w:sz w:val="15"/>
          <w:szCs w:val="15"/>
        </w:rPr>
      </w:pPr>
    </w:p>
    <w:p w:rsidR="00351D9F" w:rsidRPr="00351D9F" w:rsidRDefault="00351D9F" w:rsidP="00351D9F">
      <w:pPr>
        <w:autoSpaceDE w:val="0"/>
        <w:autoSpaceDN w:val="0"/>
        <w:adjustRightInd w:val="0"/>
        <w:jc w:val="left"/>
        <w:rPr>
          <w:rFonts w:ascii="AdvTTb5929f4c" w:hAnsi="AdvTTb5929f4c" w:cs="AdvTTb5929f4c"/>
          <w:kern w:val="0"/>
          <w:sz w:val="15"/>
          <w:szCs w:val="15"/>
        </w:rPr>
      </w:pPr>
      <w:r w:rsidRPr="00351D9F">
        <w:rPr>
          <w:rFonts w:ascii="AdvTTb5929f4c" w:hAnsi="AdvTTb5929f4c" w:cs="AdvTTb5929f4c"/>
          <w:kern w:val="0"/>
          <w:sz w:val="15"/>
          <w:szCs w:val="15"/>
        </w:rPr>
        <w:t>Kenta Shirasawa, Padmalatha Koilkonda, Koh Aoki, Hideki Hirakawa, Satoshi Tabata, Manabu Watanabe,</w:t>
      </w:r>
      <w:r w:rsidRPr="00351D9F">
        <w:rPr>
          <w:rFonts w:ascii="AdvTTb5929f4c" w:hAnsi="AdvTTb5929f4c" w:cs="AdvTTb5929f4c" w:hint="eastAsia"/>
          <w:kern w:val="0"/>
          <w:sz w:val="15"/>
          <w:szCs w:val="15"/>
        </w:rPr>
        <w:t xml:space="preserve"> </w:t>
      </w:r>
      <w:r w:rsidRPr="00351D9F">
        <w:rPr>
          <w:rFonts w:ascii="AdvTTb5929f4c" w:hAnsi="AdvTTb5929f4c" w:cs="AdvTTb5929f4c"/>
          <w:kern w:val="0"/>
          <w:sz w:val="15"/>
          <w:szCs w:val="15"/>
        </w:rPr>
        <w:t>Makoto Hasegawa, Hiroyuki Kiyoshima, Shigeru Suzuki, Chikara Kuwata, Yoshiki Naito, Tsutomu Kuboyama,</w:t>
      </w:r>
      <w:r w:rsidRPr="00351D9F">
        <w:rPr>
          <w:rFonts w:ascii="AdvTTb5929f4c" w:hAnsi="AdvTTb5929f4c" w:cs="AdvTTb5929f4c" w:hint="eastAsia"/>
          <w:kern w:val="0"/>
          <w:sz w:val="15"/>
          <w:szCs w:val="15"/>
        </w:rPr>
        <w:t xml:space="preserve"> </w:t>
      </w:r>
      <w:r w:rsidRPr="00351D9F">
        <w:rPr>
          <w:rFonts w:ascii="AdvTTb5929f4c" w:hAnsi="AdvTTb5929f4c" w:cs="AdvTTb5929f4c"/>
          <w:kern w:val="0"/>
          <w:sz w:val="15"/>
          <w:szCs w:val="15"/>
        </w:rPr>
        <w:t>Akihiro Nakaya, Shigemi Sasamoto, Akiko Watanabe, Midori Kato, Kumiko Kawashima, Yoshie Kishida,</w:t>
      </w:r>
      <w:r w:rsidRPr="00351D9F">
        <w:rPr>
          <w:rFonts w:ascii="AdvTTb5929f4c" w:hAnsi="AdvTTb5929f4c" w:cs="AdvTTb5929f4c" w:hint="eastAsia"/>
          <w:kern w:val="0"/>
          <w:sz w:val="15"/>
          <w:szCs w:val="15"/>
        </w:rPr>
        <w:t xml:space="preserve"> </w:t>
      </w:r>
      <w:r w:rsidRPr="00351D9F">
        <w:rPr>
          <w:rFonts w:ascii="AdvTTb5929f4c" w:hAnsi="AdvTTb5929f4c" w:cs="AdvTTb5929f4c"/>
          <w:kern w:val="0"/>
          <w:sz w:val="15"/>
          <w:szCs w:val="15"/>
        </w:rPr>
        <w:t>Mitsuyo Kohara, Atsushi Kurabayashi, Chika Takahashi, Hisano Tsuruoka, Tsuyuko Wada and</w:t>
      </w:r>
      <w:r w:rsidRPr="00351D9F">
        <w:rPr>
          <w:rFonts w:ascii="AdvTTb5929f4c" w:hAnsi="AdvTTb5929f4c" w:cs="AdvTTb5929f4c" w:hint="eastAsia"/>
          <w:kern w:val="0"/>
          <w:sz w:val="15"/>
          <w:szCs w:val="15"/>
        </w:rPr>
        <w:t xml:space="preserve"> </w:t>
      </w:r>
      <w:r w:rsidRPr="00351D9F">
        <w:rPr>
          <w:rFonts w:ascii="AdvTTb5929f4c" w:hAnsi="AdvTTb5929f4c" w:cs="AdvTTb5929f4c"/>
          <w:kern w:val="0"/>
          <w:sz w:val="15"/>
          <w:szCs w:val="15"/>
        </w:rPr>
        <w:t>Sachiko Isobe</w:t>
      </w:r>
    </w:p>
    <w:p w:rsidR="00351D9F" w:rsidRDefault="00351D9F" w:rsidP="003F4785">
      <w:pPr>
        <w:autoSpaceDE w:val="0"/>
        <w:autoSpaceDN w:val="0"/>
        <w:adjustRightInd w:val="0"/>
        <w:jc w:val="center"/>
        <w:rPr>
          <w:rFonts w:ascii="AdvTTaf7f9f4f.B" w:hAnsi="AdvTTaf7f9f4f.B" w:cs="AdvTTaf7f9f4f.B"/>
          <w:b/>
          <w:kern w:val="0"/>
          <w:szCs w:val="21"/>
        </w:rPr>
      </w:pPr>
    </w:p>
    <w:p w:rsidR="003F4785" w:rsidRPr="003F4785" w:rsidRDefault="003F4785" w:rsidP="003F4785">
      <w:pPr>
        <w:autoSpaceDE w:val="0"/>
        <w:autoSpaceDN w:val="0"/>
        <w:adjustRightInd w:val="0"/>
        <w:jc w:val="center"/>
        <w:rPr>
          <w:rFonts w:ascii="AdvTTaf7f9f4f.B" w:hAnsi="AdvTTaf7f9f4f.B" w:cs="AdvTTaf7f9f4f.B"/>
          <w:b/>
          <w:kern w:val="0"/>
          <w:szCs w:val="21"/>
        </w:rPr>
      </w:pPr>
      <w:r w:rsidRPr="003F4785">
        <w:rPr>
          <w:rFonts w:ascii="AdvTTaf7f9f4f.B" w:hAnsi="AdvTTaf7f9f4f.B" w:cs="AdvTTaf7f9f4f.B"/>
          <w:b/>
          <w:kern w:val="0"/>
          <w:szCs w:val="21"/>
        </w:rPr>
        <w:t>Abstract</w:t>
      </w:r>
    </w:p>
    <w:p w:rsidR="003F4785" w:rsidRDefault="003F4785" w:rsidP="003F4785">
      <w:pPr>
        <w:autoSpaceDE w:val="0"/>
        <w:autoSpaceDN w:val="0"/>
        <w:adjustRightInd w:val="0"/>
        <w:rPr>
          <w:rFonts w:ascii="AdvTTb5929f4c" w:hAnsi="AdvTTb5929f4c" w:cs="AdvTTb5929f4c"/>
          <w:kern w:val="0"/>
          <w:sz w:val="20"/>
          <w:szCs w:val="20"/>
        </w:rPr>
      </w:pPr>
      <w:r w:rsidRPr="003F4785">
        <w:rPr>
          <w:rFonts w:ascii="AdvTT99c4c969" w:hAnsi="AdvTT99c4c969" w:cs="AdvTT99c4c969"/>
          <w:b/>
          <w:kern w:val="0"/>
          <w:sz w:val="20"/>
          <w:szCs w:val="20"/>
        </w:rPr>
        <w:t xml:space="preserve">Background: </w:t>
      </w:r>
      <w:r>
        <w:rPr>
          <w:rFonts w:ascii="AdvTTb5929f4c" w:hAnsi="AdvTTb5929f4c" w:cs="AdvTTb5929f4c"/>
          <w:kern w:val="0"/>
          <w:sz w:val="20"/>
          <w:szCs w:val="20"/>
        </w:rPr>
        <w:t>Peanut (</w:t>
      </w:r>
      <w:r>
        <w:rPr>
          <w:rFonts w:ascii="AdvTT1b53b5fb.I" w:hAnsi="AdvTT1b53b5fb.I" w:cs="AdvTT1b53b5fb.I"/>
          <w:kern w:val="0"/>
          <w:sz w:val="20"/>
          <w:szCs w:val="20"/>
        </w:rPr>
        <w:t>Arachis hypogaea</w:t>
      </w:r>
      <w:r>
        <w:rPr>
          <w:rFonts w:ascii="AdvTTb5929f4c" w:hAnsi="AdvTTb5929f4c" w:cs="AdvTTb5929f4c"/>
          <w:kern w:val="0"/>
          <w:sz w:val="20"/>
          <w:szCs w:val="20"/>
        </w:rPr>
        <w:t>) is an autogamous allotetraploid legume (2n = 4x = 40) that is widely</w:t>
      </w:r>
      <w:r>
        <w:rPr>
          <w:rFonts w:ascii="AdvTTb5929f4c" w:hAnsi="AdvTTb5929f4c" w:cs="AdvTTb5929f4c" w:hint="eastAsia"/>
          <w:kern w:val="0"/>
          <w:sz w:val="20"/>
          <w:szCs w:val="20"/>
        </w:rPr>
        <w:t xml:space="preserve"> </w:t>
      </w:r>
      <w:r>
        <w:rPr>
          <w:rFonts w:ascii="AdvTTb5929f4c" w:hAnsi="AdvTTb5929f4c" w:cs="AdvTTb5929f4c"/>
          <w:kern w:val="0"/>
          <w:sz w:val="20"/>
          <w:szCs w:val="20"/>
        </w:rPr>
        <w:t xml:space="preserve">cultivated as a food and oil crop. More than 6,000 DNA markers have been developed in </w:t>
      </w:r>
      <w:r>
        <w:rPr>
          <w:rFonts w:ascii="AdvTT1b53b5fb.I" w:hAnsi="AdvTT1b53b5fb.I" w:cs="AdvTT1b53b5fb.I"/>
          <w:kern w:val="0"/>
          <w:sz w:val="20"/>
          <w:szCs w:val="20"/>
        </w:rPr>
        <w:t xml:space="preserve">Arachis </w:t>
      </w:r>
      <w:r>
        <w:rPr>
          <w:rFonts w:ascii="AdvTTb5929f4c" w:hAnsi="AdvTTb5929f4c" w:cs="AdvTTb5929f4c"/>
          <w:kern w:val="0"/>
          <w:sz w:val="20"/>
          <w:szCs w:val="20"/>
        </w:rPr>
        <w:t>spp., but highdensity</w:t>
      </w:r>
      <w:r>
        <w:rPr>
          <w:rFonts w:ascii="AdvTTb5929f4c" w:hAnsi="AdvTTb5929f4c" w:cs="AdvTTb5929f4c" w:hint="eastAsia"/>
          <w:kern w:val="0"/>
          <w:sz w:val="20"/>
          <w:szCs w:val="20"/>
        </w:rPr>
        <w:t xml:space="preserve"> </w:t>
      </w:r>
      <w:r>
        <w:rPr>
          <w:rFonts w:ascii="AdvTTb5929f4c" w:hAnsi="AdvTTb5929f4c" w:cs="AdvTTb5929f4c"/>
          <w:kern w:val="0"/>
          <w:sz w:val="20"/>
          <w:szCs w:val="20"/>
        </w:rPr>
        <w:t>linkage maps useful for genetics, genomics, and breeding have not been constructed due to extremely low</w:t>
      </w:r>
      <w:r>
        <w:rPr>
          <w:rFonts w:ascii="AdvTTb5929f4c" w:hAnsi="AdvTTb5929f4c" w:cs="AdvTTb5929f4c" w:hint="eastAsia"/>
          <w:kern w:val="0"/>
          <w:sz w:val="20"/>
          <w:szCs w:val="20"/>
        </w:rPr>
        <w:t xml:space="preserve"> </w:t>
      </w:r>
      <w:r>
        <w:rPr>
          <w:rFonts w:ascii="AdvTTb5929f4c" w:hAnsi="AdvTTb5929f4c" w:cs="AdvTTb5929f4c"/>
          <w:kern w:val="0"/>
          <w:sz w:val="20"/>
          <w:szCs w:val="20"/>
        </w:rPr>
        <w:t>genetic diversity. Polymorphic marker loci are useful for the construction of such high-density linkage maps. The</w:t>
      </w:r>
      <w:r>
        <w:rPr>
          <w:rFonts w:ascii="AdvTTb5929f4c" w:hAnsi="AdvTTb5929f4c" w:cs="AdvTTb5929f4c" w:hint="eastAsia"/>
          <w:kern w:val="0"/>
          <w:sz w:val="20"/>
          <w:szCs w:val="20"/>
        </w:rPr>
        <w:t xml:space="preserve"> </w:t>
      </w:r>
      <w:r>
        <w:rPr>
          <w:rFonts w:ascii="AdvTTb5929f4c" w:hAnsi="AdvTTb5929f4c" w:cs="AdvTTb5929f4c"/>
          <w:kern w:val="0"/>
          <w:sz w:val="20"/>
          <w:szCs w:val="20"/>
        </w:rPr>
        <w:t xml:space="preserve">present study used </w:t>
      </w:r>
      <w:r>
        <w:rPr>
          <w:rFonts w:ascii="AdvTT1b53b5fb.I" w:hAnsi="AdvTT1b53b5fb.I" w:cs="AdvTT1b53b5fb.I"/>
          <w:kern w:val="0"/>
          <w:sz w:val="20"/>
          <w:szCs w:val="20"/>
        </w:rPr>
        <w:t xml:space="preserve">in silico </w:t>
      </w:r>
      <w:r>
        <w:rPr>
          <w:rFonts w:ascii="AdvTTb5929f4c" w:hAnsi="AdvTTb5929f4c" w:cs="AdvTTb5929f4c"/>
          <w:kern w:val="0"/>
          <w:sz w:val="20"/>
          <w:szCs w:val="20"/>
        </w:rPr>
        <w:t>analysis to develop simple sequence repeat-based and</w:t>
      </w:r>
      <w:r>
        <w:rPr>
          <w:rFonts w:ascii="AdvTTb5929f4c" w:hAnsi="AdvTTb5929f4c" w:cs="AdvTTb5929f4c" w:hint="eastAsia"/>
          <w:kern w:val="0"/>
          <w:sz w:val="20"/>
          <w:szCs w:val="20"/>
        </w:rPr>
        <w:t xml:space="preserve"> </w:t>
      </w:r>
      <w:r>
        <w:rPr>
          <w:rFonts w:ascii="AdvTTb5929f4c" w:hAnsi="AdvTTb5929f4c" w:cs="AdvTTb5929f4c"/>
          <w:kern w:val="0"/>
          <w:sz w:val="20"/>
          <w:szCs w:val="20"/>
        </w:rPr>
        <w:t>transposon-based markers.</w:t>
      </w:r>
    </w:p>
    <w:p w:rsidR="003F4785" w:rsidRDefault="003F4785" w:rsidP="003F4785">
      <w:pPr>
        <w:autoSpaceDE w:val="0"/>
        <w:autoSpaceDN w:val="0"/>
        <w:adjustRightInd w:val="0"/>
        <w:rPr>
          <w:rFonts w:ascii="AdvTTb5929f4c" w:hAnsi="AdvTTb5929f4c" w:cs="AdvTTb5929f4c"/>
          <w:kern w:val="0"/>
          <w:sz w:val="20"/>
          <w:szCs w:val="20"/>
        </w:rPr>
      </w:pPr>
      <w:r w:rsidRPr="003F4785">
        <w:rPr>
          <w:rFonts w:ascii="AdvTT99c4c969" w:hAnsi="AdvTT99c4c969" w:cs="AdvTT99c4c969"/>
          <w:b/>
          <w:kern w:val="0"/>
          <w:sz w:val="20"/>
          <w:szCs w:val="20"/>
        </w:rPr>
        <w:t>Results:</w:t>
      </w:r>
      <w:r>
        <w:rPr>
          <w:rFonts w:ascii="AdvTT99c4c969" w:hAnsi="AdvTT99c4c969" w:cs="AdvTT99c4c969"/>
          <w:kern w:val="0"/>
          <w:sz w:val="20"/>
          <w:szCs w:val="20"/>
        </w:rPr>
        <w:t xml:space="preserve"> </w:t>
      </w:r>
      <w:r>
        <w:rPr>
          <w:rFonts w:ascii="AdvTTb5929f4c" w:hAnsi="AdvTTb5929f4c" w:cs="AdvTTb5929f4c"/>
          <w:kern w:val="0"/>
          <w:sz w:val="20"/>
          <w:szCs w:val="20"/>
        </w:rPr>
        <w:t xml:space="preserve">The use of </w:t>
      </w:r>
      <w:r>
        <w:rPr>
          <w:rFonts w:ascii="AdvTT1b53b5fb.I" w:hAnsi="AdvTT1b53b5fb.I" w:cs="AdvTT1b53b5fb.I"/>
          <w:kern w:val="0"/>
          <w:sz w:val="20"/>
          <w:szCs w:val="20"/>
        </w:rPr>
        <w:t xml:space="preserve">in silico </w:t>
      </w:r>
      <w:r>
        <w:rPr>
          <w:rFonts w:ascii="AdvTTb5929f4c" w:hAnsi="AdvTTb5929f4c" w:cs="AdvTTb5929f4c"/>
          <w:kern w:val="0"/>
          <w:sz w:val="20"/>
          <w:szCs w:val="20"/>
        </w:rPr>
        <w:t>analysis increased the efficiency of polymorphic marker development by more than 3-fold. In total, 926 (34.2%) of 2,702 markers showed polymorphisms between parental lines of the mapping</w:t>
      </w:r>
      <w:r>
        <w:rPr>
          <w:rFonts w:ascii="AdvTTb5929f4c" w:hAnsi="AdvTTb5929f4c" w:cs="AdvTTb5929f4c" w:hint="eastAsia"/>
          <w:kern w:val="0"/>
          <w:sz w:val="20"/>
          <w:szCs w:val="20"/>
        </w:rPr>
        <w:t xml:space="preserve"> </w:t>
      </w:r>
      <w:r>
        <w:rPr>
          <w:rFonts w:ascii="AdvTTb5929f4c" w:hAnsi="AdvTTb5929f4c" w:cs="AdvTTb5929f4c"/>
          <w:kern w:val="0"/>
          <w:sz w:val="20"/>
          <w:szCs w:val="20"/>
        </w:rPr>
        <w:t>population. Linkage analysis of the 926 markers along with 253 polymorphic markers selected from 4,449 published</w:t>
      </w:r>
      <w:r>
        <w:rPr>
          <w:rFonts w:ascii="AdvTTb5929f4c" w:hAnsi="AdvTTb5929f4c" w:cs="AdvTTb5929f4c" w:hint="eastAsia"/>
          <w:kern w:val="0"/>
          <w:sz w:val="20"/>
          <w:szCs w:val="20"/>
        </w:rPr>
        <w:t xml:space="preserve"> </w:t>
      </w:r>
      <w:r>
        <w:rPr>
          <w:rFonts w:ascii="AdvTTb5929f4c" w:hAnsi="AdvTTb5929f4c" w:cs="AdvTTb5929f4c"/>
          <w:kern w:val="0"/>
          <w:sz w:val="20"/>
          <w:szCs w:val="20"/>
        </w:rPr>
        <w:t>markers generated 21 linkage groups covering 2,166.4 cM with 1,114 loci. Based on the map thus produced, 23</w:t>
      </w:r>
      <w:r>
        <w:rPr>
          <w:rFonts w:ascii="AdvTTb5929f4c" w:hAnsi="AdvTTb5929f4c" w:cs="AdvTTb5929f4c" w:hint="eastAsia"/>
          <w:kern w:val="0"/>
          <w:sz w:val="20"/>
          <w:szCs w:val="20"/>
        </w:rPr>
        <w:t xml:space="preserve"> </w:t>
      </w:r>
      <w:r>
        <w:rPr>
          <w:rFonts w:ascii="AdvTTb5929f4c" w:hAnsi="AdvTTb5929f4c" w:cs="AdvTTb5929f4c"/>
          <w:kern w:val="0"/>
          <w:sz w:val="20"/>
          <w:szCs w:val="20"/>
        </w:rPr>
        <w:t>quantitative trait loci (QTLs) for 15 agronomical traits were detected. Another linkage map with 326 loci was also</w:t>
      </w:r>
      <w:r>
        <w:rPr>
          <w:rFonts w:ascii="AdvTTb5929f4c" w:hAnsi="AdvTTb5929f4c" w:cs="AdvTTb5929f4c" w:hint="eastAsia"/>
          <w:kern w:val="0"/>
          <w:sz w:val="20"/>
          <w:szCs w:val="20"/>
        </w:rPr>
        <w:t xml:space="preserve"> </w:t>
      </w:r>
      <w:r>
        <w:rPr>
          <w:rFonts w:ascii="AdvTTb5929f4c" w:hAnsi="AdvTTb5929f4c" w:cs="AdvTTb5929f4c"/>
          <w:kern w:val="0"/>
          <w:sz w:val="20"/>
          <w:szCs w:val="20"/>
        </w:rPr>
        <w:t xml:space="preserve">constructed and revealed a relationship between the genotypes of the </w:t>
      </w:r>
      <w:r>
        <w:rPr>
          <w:rFonts w:ascii="AdvTT1b53b5fb.I" w:hAnsi="AdvTT1b53b5fb.I" w:cs="AdvTT1b53b5fb.I"/>
          <w:kern w:val="0"/>
          <w:sz w:val="20"/>
          <w:szCs w:val="20"/>
        </w:rPr>
        <w:t xml:space="preserve">FAD2 </w:t>
      </w:r>
      <w:r>
        <w:rPr>
          <w:rFonts w:ascii="AdvTTb5929f4c" w:hAnsi="AdvTTb5929f4c" w:cs="AdvTTb5929f4c"/>
          <w:kern w:val="0"/>
          <w:sz w:val="20"/>
          <w:szCs w:val="20"/>
        </w:rPr>
        <w:t>genes and the ratio of oleic/linoleic</w:t>
      </w:r>
      <w:r>
        <w:rPr>
          <w:rFonts w:ascii="AdvTTb5929f4c" w:hAnsi="AdvTTb5929f4c" w:cs="AdvTTb5929f4c" w:hint="eastAsia"/>
          <w:kern w:val="0"/>
          <w:sz w:val="20"/>
          <w:szCs w:val="20"/>
        </w:rPr>
        <w:t xml:space="preserve"> </w:t>
      </w:r>
      <w:r>
        <w:rPr>
          <w:rFonts w:ascii="AdvTTb5929f4c" w:hAnsi="AdvTTb5929f4c" w:cs="AdvTTb5929f4c"/>
          <w:kern w:val="0"/>
          <w:sz w:val="20"/>
          <w:szCs w:val="20"/>
        </w:rPr>
        <w:t>acid in peanut seed.</w:t>
      </w:r>
    </w:p>
    <w:p w:rsidR="003F4785" w:rsidRPr="003F4785" w:rsidRDefault="003F4785" w:rsidP="003F4785">
      <w:pPr>
        <w:autoSpaceDE w:val="0"/>
        <w:autoSpaceDN w:val="0"/>
        <w:adjustRightInd w:val="0"/>
        <w:rPr>
          <w:rFonts w:ascii="AdvTTb5929f4c" w:hAnsi="AdvTTb5929f4c" w:cs="AdvTTb5929f4c"/>
          <w:kern w:val="0"/>
          <w:sz w:val="20"/>
          <w:szCs w:val="20"/>
        </w:rPr>
      </w:pPr>
      <w:r w:rsidRPr="003F4785">
        <w:rPr>
          <w:rFonts w:ascii="AdvTT99c4c969" w:hAnsi="AdvTT99c4c969" w:cs="AdvTT99c4c969"/>
          <w:b/>
          <w:kern w:val="0"/>
          <w:sz w:val="20"/>
          <w:szCs w:val="20"/>
        </w:rPr>
        <w:t>Conclusions:</w:t>
      </w:r>
      <w:r>
        <w:rPr>
          <w:rFonts w:ascii="AdvTT99c4c969" w:hAnsi="AdvTT99c4c969" w:cs="AdvTT99c4c969"/>
          <w:kern w:val="0"/>
          <w:sz w:val="20"/>
          <w:szCs w:val="20"/>
        </w:rPr>
        <w:t xml:space="preserve"> </w:t>
      </w:r>
      <w:r>
        <w:rPr>
          <w:rFonts w:ascii="AdvTT1b53b5fb.I" w:hAnsi="AdvTT1b53b5fb.I" w:cs="AdvTT1b53b5fb.I"/>
          <w:kern w:val="0"/>
          <w:sz w:val="20"/>
          <w:szCs w:val="20"/>
        </w:rPr>
        <w:t xml:space="preserve">In silico </w:t>
      </w:r>
      <w:r>
        <w:rPr>
          <w:rFonts w:ascii="AdvTTb5929f4c" w:hAnsi="AdvTTb5929f4c" w:cs="AdvTTb5929f4c"/>
          <w:kern w:val="0"/>
          <w:sz w:val="20"/>
          <w:szCs w:val="20"/>
        </w:rPr>
        <w:t>analysis of polymorphisms increased the efficiency of polymorphic marker development,</w:t>
      </w:r>
      <w:r>
        <w:rPr>
          <w:rFonts w:ascii="AdvTTb5929f4c" w:hAnsi="AdvTTb5929f4c" w:cs="AdvTTb5929f4c" w:hint="eastAsia"/>
          <w:kern w:val="0"/>
          <w:sz w:val="20"/>
          <w:szCs w:val="20"/>
        </w:rPr>
        <w:t xml:space="preserve"> </w:t>
      </w:r>
      <w:r>
        <w:rPr>
          <w:rFonts w:ascii="AdvTTb5929f4c" w:hAnsi="AdvTTb5929f4c" w:cs="AdvTTb5929f4c"/>
          <w:kern w:val="0"/>
          <w:sz w:val="20"/>
          <w:szCs w:val="20"/>
        </w:rPr>
        <w:t>and contributed to the construction of high-density linkage maps in cultivated peanut. The resultant maps</w:t>
      </w:r>
      <w:r>
        <w:rPr>
          <w:rFonts w:ascii="AdvTTb5929f4c" w:hAnsi="AdvTTb5929f4c" w:cs="AdvTTb5929f4c" w:hint="eastAsia"/>
          <w:kern w:val="0"/>
          <w:sz w:val="20"/>
          <w:szCs w:val="20"/>
        </w:rPr>
        <w:t xml:space="preserve"> </w:t>
      </w:r>
      <w:r>
        <w:rPr>
          <w:rFonts w:ascii="AdvTTb5929f4c" w:hAnsi="AdvTTb5929f4c" w:cs="AdvTTb5929f4c"/>
          <w:kern w:val="0"/>
          <w:sz w:val="20"/>
          <w:szCs w:val="20"/>
        </w:rPr>
        <w:t>were applicable to QTL analysis. Marker subsets and linkage maps developed in this study should be useful for</w:t>
      </w:r>
      <w:r>
        <w:rPr>
          <w:rFonts w:ascii="AdvTTb5929f4c" w:hAnsi="AdvTTb5929f4c" w:cs="AdvTTb5929f4c" w:hint="eastAsia"/>
          <w:kern w:val="0"/>
          <w:sz w:val="20"/>
          <w:szCs w:val="20"/>
        </w:rPr>
        <w:t xml:space="preserve"> </w:t>
      </w:r>
      <w:r>
        <w:rPr>
          <w:rFonts w:ascii="AdvTTb5929f4c" w:hAnsi="AdvTTb5929f4c" w:cs="AdvTTb5929f4c"/>
          <w:kern w:val="0"/>
          <w:sz w:val="20"/>
          <w:szCs w:val="20"/>
        </w:rPr>
        <w:t xml:space="preserve">genetics, genomics, and breeding in </w:t>
      </w:r>
      <w:r>
        <w:rPr>
          <w:rFonts w:ascii="AdvTT1b53b5fb.I" w:hAnsi="AdvTT1b53b5fb.I" w:cs="AdvTT1b53b5fb.I"/>
          <w:kern w:val="0"/>
          <w:sz w:val="20"/>
          <w:szCs w:val="20"/>
        </w:rPr>
        <w:t>Arachis</w:t>
      </w:r>
      <w:r>
        <w:rPr>
          <w:rFonts w:ascii="AdvTTb5929f4c" w:hAnsi="AdvTTb5929f4c" w:cs="AdvTTb5929f4c"/>
          <w:kern w:val="0"/>
          <w:sz w:val="20"/>
          <w:szCs w:val="20"/>
        </w:rPr>
        <w:t>. The data are available at the Kazusa DNA Marker Database</w:t>
      </w:r>
      <w:r>
        <w:rPr>
          <w:rFonts w:ascii="AdvTTb5929f4c" w:hAnsi="AdvTTb5929f4c" w:cs="AdvTTb5929f4c" w:hint="eastAsia"/>
          <w:kern w:val="0"/>
          <w:sz w:val="20"/>
          <w:szCs w:val="20"/>
        </w:rPr>
        <w:t xml:space="preserve"> </w:t>
      </w:r>
      <w:r>
        <w:rPr>
          <w:rFonts w:ascii="AdvTTb5929f4c" w:hAnsi="AdvTTb5929f4c" w:cs="AdvTTb5929f4c"/>
          <w:kern w:val="0"/>
          <w:sz w:val="20"/>
          <w:szCs w:val="20"/>
        </w:rPr>
        <w:t>(http://marker.kazusa.or.jp).</w:t>
      </w:r>
    </w:p>
    <w:p w:rsidR="003F4785" w:rsidRPr="003F4785" w:rsidRDefault="003F4785"/>
    <w:p w:rsidR="003F4785" w:rsidRDefault="003F4785"/>
    <w:p w:rsidR="003F4785" w:rsidRDefault="003F4785"/>
    <w:p w:rsidR="003F4785" w:rsidRDefault="003F4785"/>
    <w:p w:rsidR="003F4785" w:rsidRDefault="003F4785"/>
    <w:p w:rsidR="003F4785" w:rsidRDefault="003F4785"/>
    <w:p w:rsidR="003F4785" w:rsidRDefault="003F4785"/>
    <w:p w:rsidR="003F4785" w:rsidRDefault="003F4785"/>
    <w:p w:rsidR="003F4785" w:rsidRDefault="003F4785"/>
    <w:p w:rsidR="003F4785" w:rsidRDefault="003F4785"/>
    <w:p w:rsidR="003F4785" w:rsidRDefault="003F4785"/>
    <w:p w:rsidR="003F4785" w:rsidRDefault="003F4785"/>
    <w:p w:rsidR="003F4785" w:rsidRDefault="003F4785"/>
    <w:p w:rsidR="003F4785" w:rsidRDefault="003F4785"/>
    <w:p w:rsidR="003F4785" w:rsidRPr="003E5960" w:rsidRDefault="003E5960">
      <w:pPr>
        <w:rPr>
          <w:b/>
        </w:rPr>
      </w:pPr>
      <w:r w:rsidRPr="003E5960">
        <w:rPr>
          <w:rFonts w:hint="eastAsia"/>
          <w:b/>
        </w:rPr>
        <w:lastRenderedPageBreak/>
        <w:t>Genetic linkage map:</w:t>
      </w:r>
    </w:p>
    <w:p w:rsidR="0049371A" w:rsidRDefault="0049371A">
      <w:r>
        <w:rPr>
          <w:rFonts w:hint="eastAsia"/>
          <w:noProof/>
        </w:rPr>
        <w:drawing>
          <wp:inline distT="0" distB="0" distL="0" distR="0">
            <wp:extent cx="5274310" cy="7018325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71A" w:rsidRDefault="0049371A"/>
    <w:p w:rsidR="00B26795" w:rsidRDefault="00B26795"/>
    <w:p w:rsidR="00B26795" w:rsidRDefault="00B26795"/>
    <w:p w:rsidR="00B26795" w:rsidRDefault="00B26795"/>
    <w:p w:rsidR="00B26795" w:rsidRDefault="00B26795"/>
    <w:p w:rsidR="00B26795" w:rsidRDefault="00B26795"/>
    <w:p w:rsidR="00B26795" w:rsidRDefault="00B26795"/>
    <w:p w:rsidR="00B26795" w:rsidRDefault="002D4A87">
      <w:pPr>
        <w:rPr>
          <w:b/>
        </w:rPr>
      </w:pPr>
      <w:r w:rsidRPr="002D4A87">
        <w:rPr>
          <w:rFonts w:hint="eastAsia"/>
          <w:b/>
        </w:rPr>
        <w:lastRenderedPageBreak/>
        <w:t>QTL mapping 15 traits:</w:t>
      </w:r>
    </w:p>
    <w:p w:rsidR="002D4A87" w:rsidRPr="002D4A87" w:rsidRDefault="002D4A87">
      <w:pPr>
        <w:rPr>
          <w:b/>
        </w:rPr>
      </w:pPr>
    </w:p>
    <w:p w:rsidR="00B26795" w:rsidRDefault="00B26795">
      <w:r>
        <w:rPr>
          <w:noProof/>
        </w:rPr>
        <w:drawing>
          <wp:inline distT="0" distB="0" distL="0" distR="0">
            <wp:extent cx="5274310" cy="4316722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795" w:rsidSect="00BC6E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371A" w:rsidRDefault="0049371A" w:rsidP="0049371A">
      <w:r>
        <w:separator/>
      </w:r>
    </w:p>
  </w:endnote>
  <w:endnote w:type="continuationSeparator" w:id="1">
    <w:p w:rsidR="0049371A" w:rsidRDefault="0049371A" w:rsidP="004937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vTT7329fd89.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TTe45e47d2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TTb5929f4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TTaf7f9f4f.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TT99c4c969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TT1b53b5fb.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371A" w:rsidRDefault="0049371A" w:rsidP="0049371A">
      <w:r>
        <w:separator/>
      </w:r>
    </w:p>
  </w:footnote>
  <w:footnote w:type="continuationSeparator" w:id="1">
    <w:p w:rsidR="0049371A" w:rsidRDefault="0049371A" w:rsidP="004937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371A"/>
    <w:rsid w:val="002D4A87"/>
    <w:rsid w:val="00351D9F"/>
    <w:rsid w:val="003E5960"/>
    <w:rsid w:val="003F4785"/>
    <w:rsid w:val="0049371A"/>
    <w:rsid w:val="00B26795"/>
    <w:rsid w:val="00BC6EED"/>
    <w:rsid w:val="00C1688C"/>
    <w:rsid w:val="00CE3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E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937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9371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937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937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937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9371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7BCE8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347</Words>
  <Characters>1980</Characters>
  <Application>Microsoft Office Word</Application>
  <DocSecurity>0</DocSecurity>
  <Lines>16</Lines>
  <Paragraphs>4</Paragraphs>
  <ScaleCrop>false</ScaleCrop>
  <Company/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2017-04-20T13:34:00Z</dcterms:created>
  <dcterms:modified xsi:type="dcterms:W3CDTF">2017-04-22T09:05:00Z</dcterms:modified>
</cp:coreProperties>
</file>